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Általános Szerződési Feltételek (ÁSZF)</w:t>
        <w:br/>
        <w:t>Esküvőitranszfer.hu</w:t>
      </w:r>
    </w:p>
    <w:p>
      <w:r>
        <w:t>Hatályos: 2026-02-10 napjától visszavonásig.</w:t>
        <w:br/>
        <w:t>Jelen ÁSZF az Esküvőitranszfer.hu weboldalon keresztül (vagy a weboldalra hivatkozással) megrendelt személyszállítási szolgáltatások feltételeit rögzíti. A megrendeléssel az Ügyfél jelen ÁSZF-et elfogadja.</w:t>
      </w:r>
    </w:p>
    <w:p>
      <w:r>
        <w:rPr>
          <w:b/>
          <w:sz w:val="28"/>
        </w:rPr>
        <w:t>1. Szolgáltató adatai</w:t>
      </w:r>
    </w:p>
    <w:p>
      <w:r>
        <w:t>Szolgáltató neve: Ivádi Toman Fuvar Group Kft.</w:t>
        <w:br/>
        <w:t>Székhely: 3250 Pétervására, Hársfa utca 3.</w:t>
        <w:br/>
        <w:t>Adószám: 27541816-2-10</w:t>
        <w:br/>
        <w:t>Cégjegyzékszám: 10-09-039169</w:t>
        <w:br/>
        <w:t>Képviselő: Ivádi Patrik</w:t>
        <w:br/>
        <w:t>E-mail: ivadipatrik@eskuvoitranszfer.hu</w:t>
        <w:br/>
        <w:t>Telefon: [igény esetén megadva / külön szerződésben]</w:t>
        <w:br/>
        <w:t>Honlap: Esküvőitranszfer.hu</w:t>
        <w:br/>
        <w:t>Tárhelyszolgáltató: [weboldal üzemeltetője/tárhelyszolgáltatója szerint]</w:t>
      </w:r>
    </w:p>
    <w:p>
      <w:r>
        <w:rPr>
          <w:b/>
          <w:sz w:val="28"/>
        </w:rPr>
        <w:t>2. Fogalmak</w:t>
      </w:r>
    </w:p>
    <w:p>
      <w:pPr>
        <w:pStyle w:val="ListBullet"/>
      </w:pPr>
      <w:r>
        <w:t>Ügyfél/Megrendelő: az a természetes vagy jogi személy, aki a szolgáltatást megrendeli.</w:t>
      </w:r>
    </w:p>
    <w:p>
      <w:pPr>
        <w:pStyle w:val="ListBullet"/>
      </w:pPr>
      <w:r>
        <w:t>Utas: a szolgáltatást ténylegesen igénybe vevő személy(ek).</w:t>
      </w:r>
    </w:p>
    <w:p>
      <w:pPr>
        <w:pStyle w:val="ListBullet"/>
      </w:pPr>
      <w:r>
        <w:t>Szolgáltatás: alkalmi, megrendelés alapú személyszállítás (különösen esküvői transzfer, rendezvénytranszfer, reptéri transzfer, egyedi útvonalak).</w:t>
      </w:r>
    </w:p>
    <w:p>
      <w:pPr>
        <w:pStyle w:val="ListBullet"/>
      </w:pPr>
      <w:r>
        <w:t>Ajánlat: a Szolgáltató által írásban (e-mail, üzenet, ajánlatkérő felület) adott díj- és feltétel-meghatározás.</w:t>
      </w:r>
    </w:p>
    <w:p>
      <w:pPr>
        <w:pStyle w:val="ListBullet"/>
      </w:pPr>
      <w:r>
        <w:t>Visszaigazolás: a Szolgáltató írásos nyilatkozata a megrendelés elfogadásáról, amely a szerződés létrejöttét jelenti.</w:t>
      </w:r>
    </w:p>
    <w:p>
      <w:r>
        <w:rPr>
          <w:b/>
          <w:sz w:val="28"/>
        </w:rPr>
        <w:t>3. Az ÁSZF tárgya és hatálya</w:t>
      </w:r>
    </w:p>
    <w:p>
      <w:r>
        <w:t>3.1. Jelen ÁSZF a Szolgáltató és az Ügyfél között létrejövő, megrendelés alapú személyszállítási szerződésekre vonatkozik.</w:t>
        <w:br/>
        <w:t>3.2. A Szolgáltató szolgáltatásai elsősorban Magyarország területén, illetve egyedi megállapodás alapján külföldre is kiterjedhetnek.</w:t>
        <w:br/>
        <w:t>3.3. Egyedi megállapodás (pl. különleges útvonal, többnapos rendelkezésre állás, több jármű) esetén az egyedi feltételek elsőbbséget élveznek az ÁSZF-fel szemben.</w:t>
      </w:r>
    </w:p>
    <w:p>
      <w:r>
        <w:rPr>
          <w:b/>
          <w:sz w:val="28"/>
        </w:rPr>
        <w:t>4. Szerződéskötés, megrendelés menete</w:t>
      </w:r>
    </w:p>
    <w:p>
      <w:r>
        <w:t>4.1. Az Ügyfél ajánlatot kérhet a weboldalon, e-mailben vagy telefonon.</w:t>
        <w:br/>
        <w:t>4.2. Az ajánlat tipikusan tartalmazza: dátum, indulási/érkezési helyszín, útvonal, utaslétszám, rendelkezésre állás időtartama, jármű típusa, díjazás, fizetési feltételek, lemondási feltételek.</w:t>
        <w:br/>
        <w:t>4.3. A szerződés akkor jön létre, amikor a Szolgáltató írásban visszaigazolja a megrendelést (e-mail/üzenet).</w:t>
        <w:br/>
        <w:t>4.4. A Szolgáltató jogosult a megrendelést visszautasítani, ha a teljesítés ésszerűen nem biztosítható (kapacitás hiánya, biztonsági ok, jogszabályi akadály).</w:t>
      </w:r>
    </w:p>
    <w:p>
      <w:r>
        <w:rPr>
          <w:b/>
          <w:sz w:val="28"/>
        </w:rPr>
        <w:t>5. Szolgáltatás teljesítése</w:t>
      </w:r>
    </w:p>
    <w:p>
      <w:r>
        <w:t>5.1. A Szolgáltató a szolgáltatást a visszaigazolásban rögzített időpontban és helyen kezdi meg.</w:t>
        <w:br/>
        <w:t>5.2. Az Ügyfél köteles a pontos címeket, kapcsolattartót, időpontokat és speciális igényeket időben megadni.</w:t>
        <w:br/>
        <w:t>5.3. Késés/forgalmi viszonyok: a Szolgáltató mindent megtesz a pontos érkezésért, azonban a közlekedési, időjárási és egyéb külső körülmények miatti késésért a Szolgáltató csak akkor felel, ha a késedelem neki felróható.</w:t>
        <w:br/>
        <w:t>5.4. Várakozási idő, extra megállók: a visszaigazolás szerinti kereten felüli várakozás/megálló külön díj ellenében, előzetes egyeztetéssel lehetséges.</w:t>
        <w:br/>
        <w:t>5.5. Járműcsere: műszaki okból a Szolgáltató jogosult a járművet azonos vagy magasabb kategóriájú járműre cserélni, az Ügyfél értesítése mellett.</w:t>
      </w:r>
    </w:p>
    <w:p>
      <w:r>
        <w:rPr>
          <w:b/>
          <w:sz w:val="28"/>
        </w:rPr>
        <w:t>6. Díjazás, fizetési feltételek</w:t>
      </w:r>
    </w:p>
    <w:p>
      <w:r>
        <w:t>6.1. A díj az ajánlatban és visszaigazolásban szerepel. A díj tartalmazhat: alapdíjat, kilométerdíjat, rendelkezésre állási díjat, autópályadíjat, parkolási díjat, várakozási díjat, külföldi útdíjakat, sofőr napidíjat.</w:t>
        <w:br/>
        <w:t>6.2. Fizetési módok: banki átutalás / készpénz / egyéb (pl. bankkártya) – a visszaigazolás szerint.</w:t>
        <w:br/>
        <w:t>6.3. Előleg/foglaló: a Szolgáltató jogosult előleg (foglaló) megfizetését kérni a dátum rögzítéséhez. Ennek összege és esedékessége az ajánlatban szerepel.</w:t>
        <w:br/>
        <w:t>6.4. Számlázás: a Szolgáltató a teljesítésről számlát állít ki az Ügyfél által megadott adatok alapján.</w:t>
        <w:br/>
        <w:t>6.5. Késedelmes fizetés esetén a Szolgáltató jogosult késedelmi kamatot és a behajtással kapcsolatos költségeket érvényesíteni a hatályos jogszabályok szerint.</w:t>
      </w:r>
    </w:p>
    <w:p>
      <w:r>
        <w:rPr>
          <w:b/>
          <w:sz w:val="28"/>
        </w:rPr>
        <w:t>7. Lemondás, módosítás, elállás</w:t>
      </w:r>
    </w:p>
    <w:p>
      <w:r>
        <w:t>7.1. Lemondás és módosítás kizárólag írásban (e-mail/üzenet) érvényes.</w:t>
        <w:br/>
        <w:t>7.2. Lemondási díj: a konkrét lemondási feltételek (határidők, százalékok) az ajánlatban/visszaigazolásban kerülnek rögzítésre. Ha ott nem szerepel, a következő irányadó:</w:t>
        <w:br/>
      </w:r>
    </w:p>
    <w:p>
      <w:pPr>
        <w:pStyle w:val="ListBullet"/>
      </w:pPr>
      <w:r>
        <w:t>a) 30 napon túl: a foglaló/előleg kezelése az egyedi megállapodás szerint; ennek hiányában a már felmerült igazolt költségek kerülnek felszámításra.</w:t>
      </w:r>
    </w:p>
    <w:p>
      <w:pPr>
        <w:pStyle w:val="ListBullet"/>
      </w:pPr>
      <w:r>
        <w:t>b) 30–14 napon belül: a szolgáltatási díj legfeljebb 30%-a.</w:t>
      </w:r>
    </w:p>
    <w:p>
      <w:pPr>
        <w:pStyle w:val="ListBullet"/>
      </w:pPr>
      <w:r>
        <w:t>c) 14–7 napon belül: a szolgáltatási díj legfeljebb 50%-a.</w:t>
      </w:r>
    </w:p>
    <w:p>
      <w:pPr>
        <w:pStyle w:val="ListBullet"/>
      </w:pPr>
      <w:r>
        <w:t>d) 7 napon belül vagy meg nem jelenés: a szolgáltatási díj legfeljebb 100%-a.</w:t>
      </w:r>
    </w:p>
    <w:p>
      <w:r>
        <w:t>7.3. Dátum/útvonal módosítása: a Szolgáltató a módosítást kapacitás függvényében igazolja vissza; a módosítás díjváltozással járhat.</w:t>
        <w:br/>
        <w:t>7.4. Fogyasztói elállás: ha az Ügyfél fogyasztónak minősül, az online szerződésekre irányadó elállási jog szabályai eltérhetnek, azonban a meghatározott időpontra nyújtandó szállásszolgáltatás-, személyszállítás- vagy szabadidős szolgáltatások esetén az elállás korlátozott lehet. A felek minden esetben az egyedi lemondási feltételek szerint járnak el.</w:t>
      </w:r>
    </w:p>
    <w:p>
      <w:r>
        <w:rPr>
          <w:b/>
          <w:sz w:val="28"/>
        </w:rPr>
        <w:t>8. Utasokra vonatkozó szabályok (magatartás, biztonság)</w:t>
      </w:r>
    </w:p>
    <w:p>
      <w:r>
        <w:t>8.1. Az Utas köteles a közlekedésbiztonsági szabályokat betartani (biztonsági öv használata, a járművezető utasításainak követése).</w:t>
        <w:br/>
        <w:t>8.2. A járműben dohányozni tilos. Alkohol/drog hatása alatt álló, agresszív vagy veszélyeztető magatartást tanúsító személy szállítását a Szolgáltató megtagadhatja.</w:t>
        <w:br/>
        <w:t>8.3. Kár okozása: az Ügyfél/Utas köteles megtéríteni a járműben okozott károkat, rendkívüli takarítás költségeit, valamint az esetleges kieső idő költségét.</w:t>
        <w:br/>
        <w:t>8.4. Poggyász: a poggyászért az Ügyfél felel; értéktárgyakat javasolt kézipoggyászban tartani.</w:t>
      </w:r>
    </w:p>
    <w:p>
      <w:r>
        <w:rPr>
          <w:b/>
          <w:sz w:val="28"/>
        </w:rPr>
        <w:t>9. Felelősség, vis maior</w:t>
      </w:r>
    </w:p>
    <w:p>
      <w:r>
        <w:t>9.1. A Szolgáltató felelőssége a hatályos jogszabályok szerint áll fenn. A Szolgáltató nem felel olyan károkért, amelyeket elháríthatatlan külső ok (vis maior) idéz elő.</w:t>
        <w:br/>
        <w:t>9.2. Vis maiornak minősül különösen: természeti katasztrófa, rendkívüli időjárás, hatósági intézkedés, útlezárás, baleset miatti kényszerű forgalomkorlátozás, sztrájk, háborús/terrorkockázat, járványügyi korlátozás.</w:t>
        <w:br/>
        <w:t>9.3. A Szolgáltató a vis maior helyzetről haladéktalanul tájékoztatja az Ügyfelet, és törekszik alternatív megoldásra (időpont módosítás, járműcsere, részleges teljesítés).</w:t>
      </w:r>
    </w:p>
    <w:p>
      <w:r>
        <w:rPr>
          <w:b/>
          <w:sz w:val="28"/>
        </w:rPr>
        <w:t>10. Adatkezelés</w:t>
      </w:r>
    </w:p>
    <w:p>
      <w:r>
        <w:t>10.1. A Szolgáltató a megrendelés teljesítéséhez szükséges személyes adatokat kezeli (pl. név, e-mail, telefonszám, számlázási adatok, útvonal és időpont adatok, kapcsolattartó adatai).</w:t>
        <w:br/>
        <w:t>10.2. Az adatkezelés részletes szabályait az Adatkezelési Tájékoztató tartalmazza, amely a weboldalon érhető el. Az adatkezelésre a vonatkozó adatvédelmi jogszabályok (különösen a GDPR) irányadók.</w:t>
        <w:br/>
        <w:t>10.3. Az Ügyfél szavatolja, hogy ha harmadik személy (pl. Utas, tanú, kapcsolattartó) adatait adja meg, ahhoz megfelelő jogalappal rendelkezik.</w:t>
      </w:r>
    </w:p>
    <w:p>
      <w:r>
        <w:rPr>
          <w:b/>
          <w:sz w:val="28"/>
        </w:rPr>
        <w:t>11. Panaszkezelés, vitarendezés</w:t>
      </w:r>
    </w:p>
    <w:p>
      <w:r>
        <w:t>11.1. Az Ügyfél a panaszát írásban jelezheti a Szolgáltató elérhetőségein. A Szolgáltató törekszik a panaszok mielőbbi kivizsgálására és megválaszolására.</w:t>
        <w:br/>
        <w:t>11.2. Fogyasztói jogvita esetén a fogyasztó békéltető testülethez fordulhat, illetve jogosult a hatósági és bírósági jogérvényesítésre is.</w:t>
        <w:br/>
        <w:t>11.3. A szerződésre a magyar jog irányadó. A felek elsősorban békés úton rendezik vitáikat.</w:t>
      </w:r>
    </w:p>
    <w:p>
      <w:r>
        <w:rPr>
          <w:b/>
          <w:sz w:val="28"/>
        </w:rPr>
        <w:t>12. Záró rendelkezések</w:t>
      </w:r>
    </w:p>
    <w:p>
      <w:r>
        <w:t>12.1. A Szolgáltató jogosult az ÁSZF-et egyoldalúan módosítani. A módosítás a weboldalon történő közzététellel lép hatályba. A már visszaigazolt megrendelésekre a visszaigazolás időpontjában hatályos feltételek irányadók.</w:t>
        <w:br/>
        <w:t>12.2. Amennyiben jelen ÁSZF bármely rendelkezése érvénytelennek bizonyul, az nem érinti a többi rendelkezés érvényességét.</w:t>
        <w:br/>
        <w:t>12.3. Jelen dokumentum nem helyettesíti az egyedi ajánlatot/visszaigazolást, azokkal együtt értelmezendő.</w:t>
      </w:r>
    </w:p>
    <w:p>
      <w:r>
        <w:rPr>
          <w:b/>
          <w:sz w:val="28"/>
        </w:rPr>
        <w:t>Melléklet: Opcionális adatok ellenőrzőlista</w:t>
      </w:r>
    </w:p>
    <w:p>
      <w:pPr>
        <w:pStyle w:val="ListBullet"/>
      </w:pPr>
      <w:r>
        <w:t>Cégjegyzékszám</w:t>
      </w:r>
    </w:p>
    <w:p>
      <w:pPr>
        <w:pStyle w:val="ListBullet"/>
      </w:pPr>
      <w:r>
        <w:t>Képviselő neve</w:t>
      </w:r>
    </w:p>
    <w:p>
      <w:pPr>
        <w:pStyle w:val="ListBullet"/>
      </w:pPr>
      <w:r>
        <w:t>Kapcsolati e-mail és telefonszám</w:t>
      </w:r>
    </w:p>
    <w:p>
      <w:pPr>
        <w:pStyle w:val="ListBullet"/>
      </w:pPr>
      <w:r>
        <w:t>Bankszámlaszám (ha átutalás)</w:t>
      </w:r>
    </w:p>
    <w:p>
      <w:pPr>
        <w:pStyle w:val="ListBullet"/>
      </w:pPr>
      <w:r>
        <w:t>Pontos lemondási/foglaló szabály (amit használni szeretnél)</w:t>
      </w:r>
    </w:p>
    <w:p>
      <w:pPr>
        <w:pStyle w:val="ListBullet"/>
      </w:pPr>
      <w:r>
        <w:t>Szolgáltatási terület és díjképzés rövid összefoglalója</w:t>
      </w:r>
    </w:p>
    <w:p>
      <w:pPr>
        <w:pStyle w:val="ListBullet"/>
      </w:pPr>
      <w:r>
        <w:t>Adatkezelési tájékoztató linkje / elérhetősége</w:t>
      </w:r>
    </w:p>
    <w:p>
      <w:pPr>
        <w:pStyle w:val="ListBullet"/>
      </w:pPr>
      <w:r>
        <w:t>Tárhelyszolgáltató adatai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